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4A" w:rsidRDefault="0047274A" w:rsidP="00CF41EF">
      <w:pPr>
        <w:spacing w:after="0" w:line="240" w:lineRule="auto"/>
        <w:ind w:firstLine="709"/>
        <w:jc w:val="both"/>
        <w:outlineLvl w:val="2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1431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274A" w:rsidRDefault="0047274A" w:rsidP="00CF41EF">
      <w:pPr>
        <w:spacing w:after="0" w:line="240" w:lineRule="auto"/>
        <w:ind w:firstLine="709"/>
        <w:jc w:val="both"/>
        <w:outlineLvl w:val="2"/>
        <w:rPr>
          <w:rFonts w:ascii="Segoe UI" w:eastAsia="Times New Roman" w:hAnsi="Segoe UI" w:cs="Segoe UI"/>
          <w:bCs/>
          <w:sz w:val="28"/>
          <w:szCs w:val="28"/>
          <w:lang w:eastAsia="ru-RU"/>
        </w:rPr>
      </w:pPr>
    </w:p>
    <w:p w:rsidR="00CF41EF" w:rsidRPr="00CF41EF" w:rsidRDefault="00CF41EF" w:rsidP="00CF41EF">
      <w:pPr>
        <w:spacing w:after="0" w:line="240" w:lineRule="auto"/>
        <w:ind w:firstLine="709"/>
        <w:jc w:val="both"/>
        <w:outlineLvl w:val="2"/>
        <w:rPr>
          <w:rFonts w:ascii="Segoe UI" w:eastAsia="Times New Roman" w:hAnsi="Segoe UI" w:cs="Segoe UI"/>
          <w:bCs/>
          <w:sz w:val="28"/>
          <w:szCs w:val="28"/>
          <w:lang w:eastAsia="ru-RU"/>
        </w:rPr>
      </w:pPr>
      <w:r w:rsidRPr="00CF41EF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Особенности распоряжения </w:t>
      </w:r>
      <w:proofErr w:type="spellStart"/>
      <w:r w:rsidRPr="00CF41EF">
        <w:rPr>
          <w:rFonts w:ascii="Segoe UI" w:eastAsia="Times New Roman" w:hAnsi="Segoe UI" w:cs="Segoe UI"/>
          <w:bCs/>
          <w:sz w:val="28"/>
          <w:szCs w:val="28"/>
          <w:lang w:eastAsia="ru-RU"/>
        </w:rPr>
        <w:t>общедомовой</w:t>
      </w:r>
      <w:proofErr w:type="spellEnd"/>
      <w:r w:rsidRPr="00CF41EF">
        <w:rPr>
          <w:rFonts w:ascii="Segoe UI" w:eastAsia="Times New Roman" w:hAnsi="Segoe UI" w:cs="Segoe UI"/>
          <w:bCs/>
          <w:sz w:val="28"/>
          <w:szCs w:val="28"/>
          <w:lang w:eastAsia="ru-RU"/>
        </w:rPr>
        <w:t xml:space="preserve"> собственностью</w:t>
      </w:r>
    </w:p>
    <w:p w:rsidR="00CF41EF" w:rsidRPr="00CF41EF" w:rsidRDefault="00CF41EF" w:rsidP="00CF41EF">
      <w:pPr>
        <w:spacing w:after="0" w:line="240" w:lineRule="auto"/>
        <w:ind w:firstLine="709"/>
        <w:jc w:val="both"/>
        <w:outlineLvl w:val="2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Специалисты Управления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 по Курской области разъясняют отдельные вопросы</w:t>
      </w: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 об </w:t>
      </w:r>
      <w:proofErr w:type="spellStart"/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общедомовой</w:t>
      </w:r>
      <w:proofErr w:type="spellEnd"/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Перед нашей квартирой располагается тамбур. Можно ли оформить его в собственность?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- Многоквартирные дома зачастую устроены таким образом, что несколько смежных квартир объединяет небольшое помещение, которое называют тамбуром. Нередко собственники квартир выражают желание оформить его в собственность. Однако оформить в собственность тамбур, прилегающий к квартире, но не входящий в ее общую площадь, не представляется возможным.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Помещения в многоквартирном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в силу положений статьи 36 Жилищного кодекса РФ относятся к общему имуществу собственников многоквартирного дома и принадлежат им на праве общей долевой собственности.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При этом доля в праве общей собственности на общее имущество в многоквартирном доме пропорциональна размеру площади помещения, находящегося в собственности, по отношению к площади всего дома. Тем не менее, собственник не вправе осуществлять выдел в натуре своей доли.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По решению владельцев помещений в многоквартирном доме, принятому на общем собрании, объекты общего имущества могут быть переданы в пользование (но не в собственность) в случае, если это не нарушает права и законные интересы других граждан и юридических лиц.</w:t>
      </w:r>
    </w:p>
    <w:p w:rsidR="0047274A" w:rsidRDefault="0047274A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bCs/>
          <w:sz w:val="24"/>
          <w:szCs w:val="24"/>
          <w:lang w:eastAsia="ru-RU"/>
        </w:rPr>
      </w:pP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-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Приобрели 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квартир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у и хотим 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переделать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ее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для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магазин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а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.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Как это можно сделать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?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- Обустройство магазина в жилом доме, безусловно, не противозаконно. Однако ее владелец должен соблюсти для этого ряд условий. Квартира должна быть переведена в статус нежилого помещения. Для этого также требуется соблюдение ряда требований, среди которых есть такие: жилое помещение должно иметь отдельный изолированный вход с улицы и не являться частью остального жилья (например, частью коммунальной квартиры). Если переводимое помещение расположено выше первого этажа, то находящиеся под ним помещения должны быть исключительно нежилыми. </w:t>
      </w:r>
    </w:p>
    <w:p w:rsid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Также нередко организация магазина в жилом доме сопряжена с изменением режима пользования части прилегающей территории дома, </w:t>
      </w: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lastRenderedPageBreak/>
        <w:t>например, если планируется постройка входной группы, мощение брусчаткой дорожки или организация парковки. Поскольку и несущие стены, и участок земли вокруг дома входят в состав общего имущества, на эти работы потребуется согласие собственников помещений в многоквартирном доме.</w:t>
      </w:r>
    </w:p>
    <w:p w:rsidR="0047274A" w:rsidRPr="00CF41EF" w:rsidRDefault="0047274A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-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Мож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но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ли </w:t>
      </w:r>
      <w:r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сделать </w:t>
      </w:r>
      <w:r w:rsidR="0047274A"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>площадку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для машин</w:t>
      </w:r>
      <w:r w:rsidR="0047274A" w:rsidRPr="0047274A">
        <w:rPr>
          <w:rFonts w:ascii="Segoe UI" w:eastAsia="Times New Roman" w:hAnsi="Segoe UI" w:cs="Segoe UI"/>
          <w:bCs/>
          <w:sz w:val="24"/>
          <w:szCs w:val="24"/>
          <w:lang w:eastAsia="ru-RU"/>
        </w:rPr>
        <w:t xml:space="preserve"> во дворе перед домом</w:t>
      </w:r>
      <w:r w:rsidRPr="00CF41EF">
        <w:rPr>
          <w:rFonts w:ascii="Segoe UI" w:eastAsia="Times New Roman" w:hAnsi="Segoe UI" w:cs="Segoe UI"/>
          <w:bCs/>
          <w:sz w:val="24"/>
          <w:szCs w:val="24"/>
          <w:lang w:eastAsia="ru-RU"/>
        </w:rPr>
        <w:t>?</w:t>
      </w:r>
    </w:p>
    <w:p w:rsidR="00CF41EF" w:rsidRPr="00CF41EF" w:rsidRDefault="00CF41EF" w:rsidP="00CF41EF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- Прежде всего, вам необходимо убедиться, что территория, которую вы хотите занять, действительно является </w:t>
      </w:r>
      <w:proofErr w:type="spellStart"/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>общедомовой</w:t>
      </w:r>
      <w:proofErr w:type="spellEnd"/>
      <w:r w:rsidRPr="00CF41EF">
        <w:rPr>
          <w:rFonts w:ascii="Segoe UI" w:eastAsia="Times New Roman" w:hAnsi="Segoe UI" w:cs="Segoe UI"/>
          <w:sz w:val="24"/>
          <w:szCs w:val="24"/>
          <w:lang w:eastAsia="ru-RU"/>
        </w:rPr>
        <w:t xml:space="preserve"> собственностью жильцов вашего дома. Для этого вам необходимо точно установить, где проходят границы земельного участка, занятого вашим многоквартирным домом. Если земельный участок отмежеван, то вы - либо самостоятельно, либо с помощью кадастрового инженера - должны определить на местности, где проходят реальные границы. Если участок межевание не прошел – во избежание споров с жителями соседних домов, будет лучше его отмежевать. Если территория действительно ваша, решение о том, как ее использовать вы должны будете принять на общем собрании собственников квартир в вашем доме. При этом не следует забывать, что если придомовая территория занята насаждениями (деревьями), то вырубку деревьев необходимо согласовать с уполномоченным органом. За незаконную вырубку деревьев в черте города предусмотрены штрафы.</w:t>
      </w:r>
    </w:p>
    <w:p w:rsidR="00351BFC" w:rsidRPr="00CF41EF" w:rsidRDefault="0047274A" w:rsidP="00CF41E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351BFC" w:rsidRPr="00CF41EF" w:rsidSect="00EF2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41EF"/>
    <w:rsid w:val="0047274A"/>
    <w:rsid w:val="008978B2"/>
    <w:rsid w:val="009043EA"/>
    <w:rsid w:val="00CF41EF"/>
    <w:rsid w:val="00EF2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6F0"/>
  </w:style>
  <w:style w:type="paragraph" w:styleId="3">
    <w:name w:val="heading 3"/>
    <w:basedOn w:val="a"/>
    <w:link w:val="30"/>
    <w:uiPriority w:val="9"/>
    <w:qFormat/>
    <w:rsid w:val="00CF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41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F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72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7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9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2</cp:revision>
  <dcterms:created xsi:type="dcterms:W3CDTF">2017-05-19T09:02:00Z</dcterms:created>
  <dcterms:modified xsi:type="dcterms:W3CDTF">2017-05-19T09:14:00Z</dcterms:modified>
</cp:coreProperties>
</file>