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Пространственная организация среднего образования в Курском районе до 2020 г.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  <w:t>Территория</w:t>
      </w:r>
      <w:r w:rsidRPr="002F4E8E">
        <w:rPr>
          <w:rFonts w:ascii="Times New Roman" w:hAnsi="Times New Roman" w:cs="Times New Roman"/>
          <w:sz w:val="28"/>
          <w:szCs w:val="28"/>
        </w:rPr>
        <w:tab/>
        <w:t>Базовая школа</w:t>
      </w:r>
      <w:r w:rsidRPr="002F4E8E">
        <w:rPr>
          <w:rFonts w:ascii="Times New Roman" w:hAnsi="Times New Roman" w:cs="Times New Roman"/>
          <w:sz w:val="28"/>
          <w:szCs w:val="28"/>
        </w:rPr>
        <w:tab/>
        <w:t>Школы, сохраняемые в статусе ООШ до 2020 г.</w:t>
      </w:r>
      <w:r w:rsidRPr="002F4E8E">
        <w:rPr>
          <w:rFonts w:ascii="Times New Roman" w:hAnsi="Times New Roman" w:cs="Times New Roman"/>
          <w:sz w:val="28"/>
          <w:szCs w:val="28"/>
        </w:rPr>
        <w:tab/>
        <w:t>Школы, планируемые к закрытию до 2015 г.</w:t>
      </w:r>
      <w:r w:rsidRPr="002F4E8E">
        <w:rPr>
          <w:rFonts w:ascii="Times New Roman" w:hAnsi="Times New Roman" w:cs="Times New Roman"/>
          <w:sz w:val="28"/>
          <w:szCs w:val="28"/>
        </w:rPr>
        <w:tab/>
        <w:t>Школы, планируемые к закрытию до 2020 г.</w:t>
      </w:r>
      <w:r w:rsidRPr="002F4E8E">
        <w:rPr>
          <w:rFonts w:ascii="Times New Roman" w:hAnsi="Times New Roman" w:cs="Times New Roman"/>
          <w:sz w:val="28"/>
          <w:szCs w:val="28"/>
        </w:rPr>
        <w:tab/>
        <w:t>Численность обслуживаемого населения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Численность учащихся в 2008/2009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>.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Прогноз численность учащихся в 2020/2021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>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1</w:t>
      </w:r>
      <w:r w:rsidRPr="002F4E8E">
        <w:rPr>
          <w:rFonts w:ascii="Times New Roman" w:hAnsi="Times New Roman" w:cs="Times New Roman"/>
          <w:sz w:val="28"/>
          <w:szCs w:val="28"/>
        </w:rPr>
        <w:tab/>
        <w:t>Брежневский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Верхнемедведицкая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Касиновская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  <w:t>Александровская ООШ</w:t>
      </w:r>
      <w:r w:rsidRPr="002F4E8E">
        <w:rPr>
          <w:rFonts w:ascii="Times New Roman" w:hAnsi="Times New Roman" w:cs="Times New Roman"/>
          <w:sz w:val="28"/>
          <w:szCs w:val="28"/>
        </w:rPr>
        <w:tab/>
        <w:t>В-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Касиновская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Шемякинская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4607</w:t>
      </w:r>
      <w:r w:rsidRPr="002F4E8E">
        <w:rPr>
          <w:rFonts w:ascii="Times New Roman" w:hAnsi="Times New Roman" w:cs="Times New Roman"/>
          <w:sz w:val="28"/>
          <w:szCs w:val="28"/>
        </w:rPr>
        <w:tab/>
        <w:t>289</w:t>
      </w:r>
      <w:r w:rsidRPr="002F4E8E">
        <w:rPr>
          <w:rFonts w:ascii="Times New Roman" w:hAnsi="Times New Roman" w:cs="Times New Roman"/>
          <w:sz w:val="28"/>
          <w:szCs w:val="28"/>
        </w:rPr>
        <w:tab/>
        <w:t>250-260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Верхнекасиновский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Шемякинский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2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Букреевская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Букреевская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(Л) НШ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Волобуевская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  <w:t>5649</w:t>
      </w:r>
      <w:r w:rsidRPr="002F4E8E">
        <w:rPr>
          <w:rFonts w:ascii="Times New Roman" w:hAnsi="Times New Roman" w:cs="Times New Roman"/>
          <w:sz w:val="28"/>
          <w:szCs w:val="28"/>
        </w:rPr>
        <w:tab/>
        <w:t>419</w:t>
      </w:r>
      <w:r w:rsidRPr="002F4E8E">
        <w:rPr>
          <w:rFonts w:ascii="Times New Roman" w:hAnsi="Times New Roman" w:cs="Times New Roman"/>
          <w:sz w:val="28"/>
          <w:szCs w:val="28"/>
        </w:rPr>
        <w:tab/>
        <w:t>350-370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  <w:t>Пашковский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3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Сапоговская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7204</w:t>
      </w:r>
      <w:r w:rsidRPr="002F4E8E">
        <w:rPr>
          <w:rFonts w:ascii="Times New Roman" w:hAnsi="Times New Roman" w:cs="Times New Roman"/>
          <w:sz w:val="28"/>
          <w:szCs w:val="28"/>
        </w:rPr>
        <w:tab/>
        <w:t>258</w:t>
      </w:r>
      <w:r w:rsidRPr="002F4E8E">
        <w:rPr>
          <w:rFonts w:ascii="Times New Roman" w:hAnsi="Times New Roman" w:cs="Times New Roman"/>
          <w:sz w:val="28"/>
          <w:szCs w:val="28"/>
        </w:rPr>
        <w:tab/>
        <w:t>220-250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4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Винниковская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Отрешковская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Виногробльская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  <w:t>2283</w:t>
      </w:r>
      <w:r w:rsidRPr="002F4E8E">
        <w:rPr>
          <w:rFonts w:ascii="Times New Roman" w:hAnsi="Times New Roman" w:cs="Times New Roman"/>
          <w:sz w:val="28"/>
          <w:szCs w:val="28"/>
        </w:rPr>
        <w:tab/>
        <w:t>189</w:t>
      </w:r>
      <w:r w:rsidRPr="002F4E8E">
        <w:rPr>
          <w:rFonts w:ascii="Times New Roman" w:hAnsi="Times New Roman" w:cs="Times New Roman"/>
          <w:sz w:val="28"/>
          <w:szCs w:val="28"/>
        </w:rPr>
        <w:tab/>
        <w:t>150-160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5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3785</w:t>
      </w:r>
      <w:r w:rsidRPr="002F4E8E">
        <w:rPr>
          <w:rFonts w:ascii="Times New Roman" w:hAnsi="Times New Roman" w:cs="Times New Roman"/>
          <w:sz w:val="28"/>
          <w:szCs w:val="28"/>
        </w:rPr>
        <w:tab/>
        <w:t>256</w:t>
      </w:r>
      <w:r w:rsidRPr="002F4E8E">
        <w:rPr>
          <w:rFonts w:ascii="Times New Roman" w:hAnsi="Times New Roman" w:cs="Times New Roman"/>
          <w:sz w:val="28"/>
          <w:szCs w:val="28"/>
        </w:rPr>
        <w:tab/>
        <w:t>210-230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  <w:t>Троицкий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6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  <w:t>Жуковская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Start"/>
      <w:r w:rsidRPr="002F4E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>интернат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10453</w:t>
      </w:r>
      <w:r w:rsidRPr="002F4E8E">
        <w:rPr>
          <w:rFonts w:ascii="Times New Roman" w:hAnsi="Times New Roman" w:cs="Times New Roman"/>
          <w:sz w:val="28"/>
          <w:szCs w:val="28"/>
        </w:rPr>
        <w:tab/>
        <w:t>882</w:t>
      </w:r>
      <w:r w:rsidRPr="002F4E8E">
        <w:rPr>
          <w:rFonts w:ascii="Times New Roman" w:hAnsi="Times New Roman" w:cs="Times New Roman"/>
          <w:sz w:val="28"/>
          <w:szCs w:val="28"/>
        </w:rPr>
        <w:tab/>
        <w:t>750-770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7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Муравлевский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  <w:t>Полевской лицей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Зоринская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Лисовская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lastRenderedPageBreak/>
        <w:t>Верхне-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Гуторовская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Колоденская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Кизиловская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  <w:t>4342</w:t>
      </w:r>
      <w:r w:rsidRPr="002F4E8E">
        <w:rPr>
          <w:rFonts w:ascii="Times New Roman" w:hAnsi="Times New Roman" w:cs="Times New Roman"/>
          <w:sz w:val="28"/>
          <w:szCs w:val="28"/>
        </w:rPr>
        <w:tab/>
        <w:t>453</w:t>
      </w:r>
      <w:r w:rsidRPr="002F4E8E">
        <w:rPr>
          <w:rFonts w:ascii="Times New Roman" w:hAnsi="Times New Roman" w:cs="Times New Roman"/>
          <w:sz w:val="28"/>
          <w:szCs w:val="28"/>
        </w:rPr>
        <w:tab/>
        <w:t>380-400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  <w:t xml:space="preserve">Полевской сельсовет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8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Безлесенская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Конаревская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ООШ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Букреевская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(Б) НШ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5642</w:t>
      </w:r>
      <w:r w:rsidRPr="002F4E8E">
        <w:rPr>
          <w:rFonts w:ascii="Times New Roman" w:hAnsi="Times New Roman" w:cs="Times New Roman"/>
          <w:sz w:val="28"/>
          <w:szCs w:val="28"/>
        </w:rPr>
        <w:tab/>
        <w:t>395</w:t>
      </w:r>
      <w:r w:rsidRPr="002F4E8E">
        <w:rPr>
          <w:rFonts w:ascii="Times New Roman" w:hAnsi="Times New Roman" w:cs="Times New Roman"/>
          <w:sz w:val="28"/>
          <w:szCs w:val="28"/>
        </w:rPr>
        <w:tab/>
        <w:t>330-350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9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Кукуевская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  <w:t>3-я Цветковская НШ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  <w:t>6405</w:t>
      </w:r>
      <w:r w:rsidRPr="002F4E8E">
        <w:rPr>
          <w:rFonts w:ascii="Times New Roman" w:hAnsi="Times New Roman" w:cs="Times New Roman"/>
          <w:sz w:val="28"/>
          <w:szCs w:val="28"/>
        </w:rPr>
        <w:tab/>
        <w:t>424</w:t>
      </w:r>
      <w:r w:rsidRPr="002F4E8E">
        <w:rPr>
          <w:rFonts w:ascii="Times New Roman" w:hAnsi="Times New Roman" w:cs="Times New Roman"/>
          <w:sz w:val="28"/>
          <w:szCs w:val="28"/>
        </w:rPr>
        <w:tab/>
        <w:t>360-380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10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Открытие новой школы в пос.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5083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  <w:t>380-400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11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  <w:t>Полянская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Гремяченская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НШ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5379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218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180-200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ab/>
        <w:t>Полянский сельсовет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  <w:r w:rsidRPr="002F4E8E">
        <w:rPr>
          <w:rFonts w:ascii="Times New Roman" w:hAnsi="Times New Roman" w:cs="Times New Roman"/>
          <w:sz w:val="28"/>
          <w:szCs w:val="28"/>
        </w:rPr>
        <w:tab/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7.3. Развитие культурного обслуживания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На 1 января 2008 г. на территории Курского района функционировало 30 учреждений культуры и 38 библиотечных учреждений. За последние несколько лет в организации культурного обслуживания в районе произошел ряд изменений. </w:t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 xml:space="preserve">В первую очередь они касаются оптимизации сети учреждений: сокращения количества библиотек (с 40 до 38) и сокращения количества учреждений культуры с 38 до 30 за период с 1999 по 2008 гг. В результате, в настоящее время в районе сложилась сравнительно </w:t>
      </w:r>
      <w:r w:rsidRPr="002F4E8E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оптимальная сеть учреждений культурного обслуживания, за исключением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сельсовета, в котором отсутствуют учреждения досуга.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 В Курском районе функционирует 15 киноустановок, в которых в 2006 г. было проведено 1,7 тыс. киносеансов.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Клубные учреждения функционируют в 18 из 21 муниципального образования района. Отсутствуют учреждения в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Пашковском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сельсоветах. </w:t>
      </w:r>
      <w:bookmarkStart w:id="0" w:name="_GoBack"/>
      <w:bookmarkEnd w:id="0"/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 районе функционирует 4 типа учреждений: Центральный районный дом культуры (ЦРДК), сельские дома культуры (СДК), сельские клубы и дома досуга.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В целом, в 2008 г. было отмечено более 126 тыс. посещений клубных учреждений в районе. Для района характерны территориальные различия в интенсивности пользования услугами местных досуговых учреждений.  В удаленных сельсоветах более интенсивно используются районные учреждения досуга. В то время как в сельсоветах, расположенных вблизи Курска и сравнительно удаленных, но со средн</w:t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крупноселенным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расселением интенсивность пользования сельскими домами культуры существенно ниже.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4E8E">
        <w:rPr>
          <w:rFonts w:ascii="Times New Roman" w:hAnsi="Times New Roman" w:cs="Times New Roman"/>
          <w:sz w:val="28"/>
          <w:szCs w:val="28"/>
        </w:rPr>
        <w:t xml:space="preserve">Таким образом, для северо-западной (Брежневский,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Верхнекасиновский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Шемякинский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сельсоветы), восточной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>) и юго-восточной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Муравленский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Полевской,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 частей района востребованность досуговых учреждений в разы выше, в то время как для жителей центральной части района, СДУ представляют существенно меньший интерес.</w:t>
      </w:r>
      <w:proofErr w:type="gramEnd"/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По уровню развития библиотечного обслуживания район является лидером в регионе. Район покрыт наиболее плотной сетью библиотек, значительная часть из которых имеют современный уровень оснащения. Охват населения библиотечным обслуживанием достаточно высок. В районе в целом насчитывается 21,5 тыс. зарегистрированных читателей. По показателю соотношения количества читателей в библиотеках, зарегистрированных на территории МО, и количества жителей МО крайние позиции занимают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 (94% и 8% соответственно). Наиболее высокая доля читателей, среди всех жителей характерна для удаленных районов северо-востока и северо-запада района, наименьшая – для сельсоветов, граничащих с областным центром.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Для районов мелко селенного расселения библиотеки являются необычайно значимыми не только для населения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с.н.п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., в котором они расположены, но и для соседних населенных пунктов. В крупных населенных пунктах охват </w:t>
      </w:r>
      <w:r w:rsidRPr="002F4E8E">
        <w:rPr>
          <w:rFonts w:ascii="Times New Roman" w:hAnsi="Times New Roman" w:cs="Times New Roman"/>
          <w:sz w:val="28"/>
          <w:szCs w:val="28"/>
        </w:rPr>
        <w:lastRenderedPageBreak/>
        <w:t>населения библиотеками редко превышает 75%, и библиотеки выполняют, в первую очередь, локальные функции.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Территориальная организация культурного обслуживания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Сеть учреждений культуры и библиотек, за исключением отдельных муниципальных образований, в целом, обеспечивает базовые потребности населения района. Дальнейшее развитие системы должно быть направлено на формирование и поддержание городского или близкого к тому уровня культурного обслуживания.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включенных в Курскую агломерацию, а к таковым относятся: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сельсоветы, население предъявляет более высокие требования к работе учреждений культуры. Сельские дома культуры в этой зоне должны, совместно со школами, быть базой формирования личности молодого поколения и сосредоточить свое внимание на развитии «активной» составляющей своей работы, т.е. на развитии деятельности кружков, максимально адаптированной к потребностям молодежи.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Для второй зоны (остальные муниципальные образования района), более удаленной от областного центра, учреждения культуры играют иную роль. Сельские клубы и библиотеки являются цементирующими элементами жизни общества в этих районах. В силу особенностей возрастной структуры, основные потребители ждут от домой культуры не современных мероприятий, и кружков по «обучению навыкам владения компьютером», а именно встреч с людьми той же социальной группы. Поэтому для данных территорий важнейшим моментом является регулярная организация культурных мероприятий для жителей. Т.к. качество жизни и возможные потребности населения не позволяют содержать постоянный штат методистов и специалистов по организации культурно-массовых мероприятий во всех домах культуры, необходимо более активно использовать педагогов крупных СДК и ЦРДК для организации подобных мероприятий.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Основные мероприятия по развитию системы культурного обслуживания в Курском районе: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Клубные учреждения: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•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Создание СДК в д.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>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•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Создание сельского клуба или дома досуга в одном из населенных пунктов Пашковского сельсовета (д.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Сапогово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>).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Создание сельского клуба или дома досуга в одном из населенных пунктов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сельсовета (пос. Искра).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Библиотечные учреждения: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•</w:t>
      </w:r>
      <w:r w:rsidRPr="002F4E8E">
        <w:rPr>
          <w:rFonts w:ascii="Times New Roman" w:hAnsi="Times New Roman" w:cs="Times New Roman"/>
          <w:sz w:val="28"/>
          <w:szCs w:val="28"/>
        </w:rPr>
        <w:tab/>
        <w:t>Создание электронного каталога книг в библиотечных учреждениях района.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•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Создание на базе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Верхнекасиновской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библиотеки «мобильной библиотеки» (возможно совместно с почтой), когда читатель оставляет заявку, а в последствие книга доставляется ему на дом. В зону обслуживания библиотеки войдут: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Верхнекасиновский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Брежневский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Шемякинский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8.  ПЕРСПЕКТИВЫ  СОЦИАЛЬНО-ЭКОНОМИЧЕСКОГО  РАЗВИТИЯ РАЙОНА  И  ИХ  ПРОСТРАНСТВЕННОЕ  ОТРАЖЕНИЕ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Курский район является одним из наиболее благополучных сельских районов области. Однако современный уровень развития экономики района не соответствует генетически заложенному потенциалу: низкий уровень развития промышленности, недоиспользование потенциала агропромышленного комплекса, практически не развитый сектор услуг. Складывается одностороннее взаимодействие между городом и окружающей его территорией, и Ку</w:t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>одолжает «выкачивать» ресурсы из района, в первую очередь, трудовые.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 подобных условиях основной целью пространственного развития района должно быть балансирование взаимодействия областного центра и окружающей его территории.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Второй, не менее важной, задачей пространственного развития является поддержание и развитие человеческого капитала, сложившегося на территории района, и это относится, в первую очередь, к развитию социальной сферы. Поэтому необходимо развитие образования, здравоохранения, улучшение социальных условий жизни, развитие досугового комплекса. В соответствии с выделенными задачами планирование развития района необходимо вести, с точки зрения интенсивности взаимодействия города и района. В районе выделяется три зоны («кольца»).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Первое кольцо – территория непосредственной включенности в городские процессы. Это районы, вплотную примыкающие к городской черте, в них наиболее интенсивно будет проявляться процесс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сурбурбанизации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2F4E8E">
        <w:rPr>
          <w:rFonts w:ascii="Times New Roman" w:hAnsi="Times New Roman" w:cs="Times New Roman"/>
          <w:sz w:val="28"/>
          <w:szCs w:val="28"/>
        </w:rPr>
        <w:lastRenderedPageBreak/>
        <w:t xml:space="preserve">постиндустриальной экономики. В среднесрочной перспективе можно ожидать, что большая часть земель данной зоны будет освоена и практически сольется с городом.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Второе кольцо – зона, частично включенная в городские процессы. В ней, пространственно разнесенные, будут сочетаться селитебные, промышленные, логистические и высокоинтенсивные агарные функции. Данная зона в перспективе станет базой экономического благополучия района.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Основной функцией третьего кольца станет обслуживание и поддержание функционирования агломерации, компенсация последствий для окружающей среды, а именно: развитие растениеводства и молочно-мясного животноводства, развитие рекреационной функции, непосредственно экологические функции.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Зона 1 развития экономики потребления: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К данной зоне относятся: </w:t>
      </w:r>
      <w:proofErr w:type="spellStart"/>
      <w:proofErr w:type="gramStart"/>
      <w:r w:rsidRPr="002F4E8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сельсовет; северо-восточная часть Полянского с/с; южная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Верхнекасиновского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южные части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Палковского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юго-западная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западные части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сельсоветов; северная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северо-западная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северная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западная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сельсовета;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 полностью.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 xml:space="preserve"> Перспективы развития данной зоны связаны в первую очередь </w:t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E8E">
        <w:rPr>
          <w:rFonts w:ascii="Times New Roman" w:hAnsi="Times New Roman" w:cs="Times New Roman"/>
          <w:sz w:val="28"/>
          <w:szCs w:val="28"/>
        </w:rPr>
        <w:t>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жилищным строительством для среднего класса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сельсоветы);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строительством социального одноэтажного жилья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сельсоветы);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развитием экономики услуг: строительство торгово-развлекательных центров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 и центров торговли товарами промышленного и хозяйственного назначения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Зона 2 индустриально-аграрного и научно-селитебного развития: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 данную зону входят территории: </w:t>
      </w:r>
      <w:proofErr w:type="spellStart"/>
      <w:proofErr w:type="gramStart"/>
      <w:r w:rsidRPr="002F4E8E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Полевской,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Муравленский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 (без северо-восточной части); восточная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западная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южная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центральная часть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с/с; Полянский сельсовет.</w:t>
      </w:r>
      <w:proofErr w:type="gramEnd"/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данной зоны станут: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развитие промышленных функций в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Лебяженском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Шумаковском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Полевском сельсоветах и строительство логистического комплекса на территории Полевского сельсовета.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высокоинтенсивное пригородное хозяйство (животноводческие комплексы мясного направления, овощеводство открытого и закрытого грунта, семеноводство, выращивание саженцев для благоустройства и т.д.). Это направление должно стать основным для восточной зоны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сельсоветы), и юго-восточной (Полевской,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Муравленский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сельсоветы).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В восточной зоне также предполагается строительство научно-производственного парка (агропромышленного направления).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4E8E">
        <w:rPr>
          <w:rFonts w:ascii="Times New Roman" w:hAnsi="Times New Roman" w:cs="Times New Roman"/>
          <w:sz w:val="28"/>
          <w:szCs w:val="28"/>
        </w:rPr>
        <w:t>На севере данной зоне, в одной из наиболее благополучных с экологической и эстетической точек зрения территорий, предполагается строительство элитного жилья.</w:t>
      </w:r>
      <w:proofErr w:type="gramEnd"/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Зона 3 аграрно-рекреационного развития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В данную зону входят все остальные территории района.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>Основное функциональное назначение данной зоны – производство растениеводческой продукции (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зерноводство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, свекловодство, производство технических культур), в особенности это касается юго-восточной и восточной частей района.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Данная территория должна стать основной рекреационной зоной местного значения для жителей Курско-Курчатовской агломерации: на северо-востоке, в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Ноздрачевском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сельсоветах оставляется резерв земель для развития дачного движения, северо-западная часть района может стать зоной для организации «дикого пляжного» отдыха. 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  <w:r w:rsidRPr="002F4E8E">
        <w:rPr>
          <w:rFonts w:ascii="Times New Roman" w:hAnsi="Times New Roman" w:cs="Times New Roman"/>
          <w:sz w:val="28"/>
          <w:szCs w:val="28"/>
        </w:rPr>
        <w:tab/>
        <w:t xml:space="preserve">Еще одно важнейшее назначение данной зоны – служить экологической подушкой безопасности для Курска. Необходимо ограничить внесение химических веществ в почву, выбросы в атмосферу. Возможно, стоит произвести посадку лесонасаждений в восточной и западной частях района (запад Полянского сельсовета, восток </w:t>
      </w:r>
      <w:proofErr w:type="spellStart"/>
      <w:r w:rsidRPr="002F4E8E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2F4E8E">
        <w:rPr>
          <w:rFonts w:ascii="Times New Roman" w:hAnsi="Times New Roman" w:cs="Times New Roman"/>
          <w:sz w:val="28"/>
          <w:szCs w:val="28"/>
        </w:rPr>
        <w:t xml:space="preserve"> и Троицкого сельсоветов).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>Реализация подобной схемы пространственного развития социально-экономической системы Курского района позволит стабилизировать и улучшить экономическую ситуацию, увеличить количество рабочих мест на территории района, увеличить доходы бюджета. С другой стороны, привлечение новых жителей на территорию района будет способствовать улучшению качественного состава населения и стабилизации демографической ситуации (снижению темпов убыли населения).</w:t>
      </w:r>
    </w:p>
    <w:p w:rsidR="002F4E8E" w:rsidRPr="002F4E8E" w:rsidRDefault="002F4E8E" w:rsidP="002F4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1F" w:rsidRPr="002F4E8E" w:rsidRDefault="00D2611F" w:rsidP="002F4E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11F" w:rsidRPr="002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1"/>
    <w:rsid w:val="002F4E8E"/>
    <w:rsid w:val="00D2611F"/>
    <w:rsid w:val="00E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2010-12-16T13:16:00Z</dcterms:created>
  <dcterms:modified xsi:type="dcterms:W3CDTF">2010-12-16T13:17:00Z</dcterms:modified>
</cp:coreProperties>
</file>