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center"/>
        <w:rPr/>
      </w:pPr>
      <w:r>
        <w:rPr>
          <w:rStyle w:val="Style16"/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 xml:space="preserve">Постановлением Правительства РФ от 07.11.2024 № 1509 внесены изменения, согласно которым </w:t>
      </w:r>
      <w:bookmarkStart w:id="0" w:name="__DdeLink__3088_3779333326"/>
      <w:bookmarkEnd w:id="0"/>
      <w:r>
        <w:rPr>
          <w:rStyle w:val="Style16"/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молодые семьи участников СВО смогут получать соц.выплаты на покупку или строительство жилья в первоочередном порядке.</w:t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Times New Roman" w:hAnsi="Times New Roman"/>
          <w:i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Разъясняет прокурор Кореневского района Бобнев А.А.</w:t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 выплаты предоставляют семьям, в которых каждый из супругов младше 35 лет. Государственную поддержку может получить одинокий родитель до 35 лет с одним или несколькими детьми. Главный критерий -семья должна нуждаться в улучшении жилищных условий. Право на улучшение жилищных условий с использованием социальной выплаты предоставляется молодой семье только один раз. Участие в мероприятии является добровольным.</w:t>
        <w:tab/>
        <w:tab/>
        <w:tab/>
        <w:tab/>
        <w:tab/>
        <w:tab/>
        <w:tab/>
        <w:tab/>
        <w:tab/>
        <w:t>Социальная выплата предоставляется от расчетной (средней) стоимости жилья в размере не менее:</w:t>
        <w:tab/>
        <w:tab/>
        <w:tab/>
        <w:tab/>
        <w:tab/>
        <w:tab/>
        <w:tab/>
        <w:tab/>
        <w:t>- 30 процентов для молодых семей, не имеющих детей;</w:t>
        <w:tab/>
        <w:tab/>
        <w:tab/>
        <w:tab/>
        <w:t>- 35 процентов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  <w:tab/>
        <w:tab/>
        <w:tab/>
        <w:tab/>
        <w:tab/>
        <w:tab/>
        <w:t>Указанные средства можно направить на покупку дома, квартиры, строительство жилья, а также на первоначальный взнос или погашение ипотеки.</w:t>
        <w:tab/>
        <w:tab/>
        <w:tab/>
        <w:tab/>
        <w:tab/>
        <w:tab/>
        <w:tab/>
        <w:tab/>
        <w:tab/>
        <w:tab/>
        <w:tab/>
        <w:t>Документ вступил в силу с 19 ноября 2024 года.</w:t>
      </w:r>
    </w:p>
    <w:p>
      <w:pPr>
        <w:pStyle w:val="Style18"/>
        <w:ind w:left="631" w:right="0" w:hanging="0"/>
        <w:jc w:val="both"/>
        <w:rPr>
          <w:sz w:val="28"/>
        </w:rPr>
      </w:pPr>
      <w:r>
        <w:rPr/>
      </w:r>
    </w:p>
    <w:p>
      <w:pPr>
        <w:pStyle w:val="Style18"/>
        <w:jc w:val="both"/>
        <w:rPr>
          <w:rStyle w:val="Style16"/>
          <w:rFonts w:ascii="Times New Roman;Times;serif" w:hAnsi="Times New Roman;Times;serif"/>
          <w:sz w:val="28"/>
          <w:szCs w:val="28"/>
          <w:u w:val="single"/>
        </w:rPr>
      </w:pPr>
      <w:r>
        <w:rPr>
          <w:rFonts w:ascii="Times New Roman;Times;serif" w:hAnsi="Times New Roman;Times;serif"/>
          <w:sz w:val="28"/>
          <w:szCs w:val="28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Application>LibreOffice/5.3.4.2$Windows_X86_64 LibreOffice_project/f82d347ccc0be322489bf7da61d7e4ad13fe2ff3</Application>
  <Pages>2</Pages>
  <Words>162</Words>
  <Characters>1014</Characters>
  <CharactersWithSpaces>1206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2024-12-03T12:33:48Z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