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5843" w14:textId="31B84A43" w:rsidR="00F90A71" w:rsidRDefault="00F90A71" w:rsidP="00F90A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71">
        <w:rPr>
          <w:rFonts w:ascii="Times New Roman" w:hAnsi="Times New Roman" w:cs="Times New Roman"/>
          <w:b/>
          <w:sz w:val="28"/>
          <w:szCs w:val="28"/>
        </w:rPr>
        <w:t>Налог на доходы физических лиц в 2025 году</w:t>
      </w:r>
    </w:p>
    <w:p w14:paraId="0605AA3C" w14:textId="77777777" w:rsidR="00F90A71" w:rsidRPr="00F90A71" w:rsidRDefault="00F90A71" w:rsidP="00F90A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6D8685" w14:textId="41CB5CEA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A71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заместитель прокурора </w:t>
      </w:r>
      <w:proofErr w:type="spellStart"/>
      <w:r w:rsidRPr="00F90A71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F90A71">
        <w:rPr>
          <w:rFonts w:ascii="Times New Roman" w:hAnsi="Times New Roman" w:cs="Times New Roman"/>
          <w:sz w:val="28"/>
          <w:szCs w:val="28"/>
          <w:u w:val="single"/>
        </w:rPr>
        <w:t xml:space="preserve"> района Рогач Ю.С. </w:t>
      </w:r>
    </w:p>
    <w:p w14:paraId="73CE7F72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Федеральным законом от 17.07.2024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с 01.01.2025 вводится пятиступенчатая прогрессивная шкала ставок по налогу на доходы физических лиц.</w:t>
      </w:r>
    </w:p>
    <w:p w14:paraId="53FC1E2A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По основным доходам резидентов (оплата труда и прочие выплаты работникам, выплаты по договорам гражданско-правового характера, доходы от предпринимательской деятельности, проценты по займам, арендная плата и т.п.) установлена новая прогрессивная шкала – пять ставок вместо применяемых в настоящее время двух:</w:t>
      </w:r>
    </w:p>
    <w:p w14:paraId="0A1E24E0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13% − для доходов до 2,4 млн руб. в год;</w:t>
      </w:r>
    </w:p>
    <w:p w14:paraId="41796344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15% − от 2,4 млн до 5 млн руб. в год;</w:t>
      </w:r>
    </w:p>
    <w:p w14:paraId="68E202E4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18% − от 5 млн до 20 млн руб. в год;</w:t>
      </w:r>
    </w:p>
    <w:p w14:paraId="4195C0D7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20% − от 20 млн до 50 млн руб. в год;</w:t>
      </w:r>
    </w:p>
    <w:p w14:paraId="2913D40B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22% − свыше 50 млн руб. в год.</w:t>
      </w:r>
    </w:p>
    <w:p w14:paraId="78BA7EF6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Для дивидендов и процентов по вкладам будут действовать следующие ставки:</w:t>
      </w:r>
    </w:p>
    <w:p w14:paraId="25A5A2D2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13% − для доходов до 2,4 млн руб. в год;</w:t>
      </w:r>
    </w:p>
    <w:p w14:paraId="5E642B14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15% − свыше 2,4 млн руб. в год.</w:t>
      </w:r>
    </w:p>
    <w:p w14:paraId="43D58179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Прежней останется шкала налогообложения для отдельных видов доходов (выплаты участникам СВО и процентные надбавки работающих в районах Крайнего Севера):</w:t>
      </w:r>
    </w:p>
    <w:p w14:paraId="70D4C550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13% − для доходов до 5 млн руб. в год;</w:t>
      </w:r>
    </w:p>
    <w:p w14:paraId="2DA27D68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15% − свыше 5 млн руб. в год.</w:t>
      </w:r>
    </w:p>
    <w:p w14:paraId="4DB1D59F" w14:textId="77777777" w:rsidR="00F90A71" w:rsidRPr="00F90A71" w:rsidRDefault="00F90A71" w:rsidP="00F90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71">
        <w:rPr>
          <w:rFonts w:ascii="Times New Roman" w:hAnsi="Times New Roman" w:cs="Times New Roman"/>
          <w:sz w:val="28"/>
          <w:szCs w:val="28"/>
        </w:rPr>
        <w:t>При этом повышенные ставки будут применяться не ко всему полученному доходу, а к суммам превышения величин дохода.</w:t>
      </w:r>
    </w:p>
    <w:p w14:paraId="27693FC6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0"/>
    <w:rsid w:val="0048228C"/>
    <w:rsid w:val="00C06DD0"/>
    <w:rsid w:val="00F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0D9B"/>
  <w15:chartTrackingRefBased/>
  <w15:docId w15:val="{B485057E-C5C0-4A75-9C08-763F6A9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2025-01-16T12:50:00Z</dcterms:created>
  <dcterms:modified xsi:type="dcterms:W3CDTF">2025-01-16T12:51:00Z</dcterms:modified>
</cp:coreProperties>
</file>