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E0" w:rsidRDefault="00EB5AE0" w:rsidP="00ED6B43">
      <w:pPr>
        <w:spacing w:after="0"/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AE0" w:rsidRPr="00040563" w:rsidRDefault="00F35A0D" w:rsidP="00ED6B4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СОБРАНИЕ ДЕПУТАТОВ</w:t>
      </w:r>
    </w:p>
    <w:p w:rsidR="00EB5AE0" w:rsidRPr="00040563" w:rsidRDefault="00E0777D" w:rsidP="00ED6B4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ЗНАМЕНСК</w:t>
      </w:r>
      <w:r w:rsidR="00EB5AE0" w:rsidRPr="00040563">
        <w:rPr>
          <w:rFonts w:ascii="Times New Roman" w:hAnsi="Times New Roman"/>
          <w:b/>
          <w:sz w:val="48"/>
          <w:szCs w:val="48"/>
        </w:rPr>
        <w:t>ОГО СЕЛЬСОВЕТА</w:t>
      </w:r>
    </w:p>
    <w:p w:rsidR="00EB5AE0" w:rsidRDefault="00EB5AE0" w:rsidP="00ED6B4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</w:t>
      </w:r>
      <w:r w:rsidR="002F4DE2">
        <w:rPr>
          <w:rFonts w:ascii="Times New Roman" w:hAnsi="Times New Roman"/>
          <w:sz w:val="40"/>
          <w:szCs w:val="40"/>
        </w:rPr>
        <w:t xml:space="preserve">ГРОВСКОГО РАЙОНА </w:t>
      </w:r>
    </w:p>
    <w:p w:rsidR="002F4DE2" w:rsidRPr="00080C80" w:rsidRDefault="002F4DE2" w:rsidP="00ED6B4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F2242" w:rsidRPr="000874FF" w:rsidRDefault="00F35A0D" w:rsidP="000874F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РЕШЕНИЕ</w:t>
      </w:r>
      <w:r w:rsidR="000874F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</w:p>
    <w:p w:rsidR="00783073" w:rsidRPr="00783073" w:rsidRDefault="00783073" w:rsidP="0078307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  2020 г.    № 18-40</w:t>
      </w:r>
      <w:r w:rsid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новой редакции Порядка формирования,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ведения, ежегодного дополнения и опубликования перечня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муниципального образования </w:t>
      </w:r>
      <w:r w:rsid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сельсовет»</w:t>
      </w:r>
    </w:p>
    <w:p w:rsidR="006B7601" w:rsidRPr="006B7601" w:rsidRDefault="000874FF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 района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предназначенного </w:t>
      </w:r>
      <w:proofErr w:type="gramStart"/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во владение и (или) в пользование субъектам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малого и среднего предпринимательства и организациям,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образующим инфраструктуру поддержки субъектов малого и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положений Фед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ерального закона от 24.07.2007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209-ФЗ «О развитии малого и среднего предпринимательства в Российской Федерации», улучшения условий для развития малого и среднего предпринимательства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сельсовета 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сельсовета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ровского района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прилагаемые: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1.1.Новую редакцию  Порядка формирования, ведения, ежегодного дополнения  и опубликования Перечня муниципального имущества муниципального образования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сельсовет»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</w:t>
      </w:r>
      <w:proofErr w:type="gramEnd"/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доход»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1).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1.2.Форму Перечня муниципального имущества муниципального образования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сельсовет» Щигровского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опубликования в информационно-телекоммуникационной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сети «Интернет» (приложение № 2).</w:t>
      </w:r>
      <w:proofErr w:type="gramEnd"/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Виды муниципального имущества, которое используется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Перечня муниципального имущества муниципального образования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сельсовет» Щигровского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3).</w:t>
      </w:r>
      <w:proofErr w:type="gramEnd"/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2.Определить Администрацию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сельсовета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уполномоченным органом муниципального образования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сельсовет» Щигровского района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2.1.Формированию, ведению, а также опубликованию Перечня муниципального имущества муниципального образования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сельсовет» Щигровского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Перечень).</w:t>
      </w:r>
      <w:proofErr w:type="gramEnd"/>
    </w:p>
    <w:p w:rsid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2.2.Взаимодействию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C210B0" w:rsidRPr="006B7601" w:rsidRDefault="00C210B0" w:rsidP="004C61F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</w:t>
      </w:r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Собрания депутатов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Знаменского сельсовета от 26 февраля 2019 г.         № 4</w:t>
      </w:r>
      <w:r w:rsid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>-5-6 «</w:t>
      </w:r>
      <w:r w:rsidR="004C61F6" w:rsidRP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</w:t>
      </w:r>
      <w:bookmarkStart w:id="0" w:name="_GoBack"/>
      <w:bookmarkEnd w:id="0"/>
      <w:r w:rsidR="004C61F6" w:rsidRP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утратившим силу.</w:t>
      </w:r>
    </w:p>
    <w:p w:rsidR="00C210B0" w:rsidRPr="00C210B0" w:rsidRDefault="006B7601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сельсовета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Щигровского района  в течение месяца с даты вступления в силу настоящего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опубликование Перечня в информационно-телекоммуникационной сети «Интернет» в соответствии с требованиями части 42 статьи 18 Федерального закона от 24.07.2007 № 209-ФЗ «О развитии малого и среднего предпринимательства в Российской Федерации» по форме согласно приложению № 2 к настоящему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210B0" w:rsidRPr="00C210B0" w:rsidRDefault="00C210B0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</w:t>
      </w:r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C210B0" w:rsidRPr="00C210B0" w:rsidRDefault="00C210B0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</w:t>
      </w:r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со дня его обнародования</w:t>
      </w:r>
    </w:p>
    <w:p w:rsidR="00C210B0" w:rsidRPr="00C210B0" w:rsidRDefault="00C210B0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A0D" w:rsidRPr="00F35A0D" w:rsidRDefault="00F35A0D" w:rsidP="00F35A0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:rsidR="00F35A0D" w:rsidRPr="00F35A0D" w:rsidRDefault="00E0777D" w:rsidP="00F35A0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F35A0D"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сельсовета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З.М.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Гойнацкая</w:t>
      </w:r>
      <w:proofErr w:type="spellEnd"/>
    </w:p>
    <w:p w:rsidR="00F35A0D" w:rsidRPr="00F35A0D" w:rsidRDefault="00F35A0D" w:rsidP="00F35A0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Pr="00C210B0" w:rsidRDefault="00F35A0D" w:rsidP="00F35A0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 сельсовета            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В.В. </w:t>
      </w:r>
      <w:proofErr w:type="spellStart"/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Золотухин</w:t>
      </w:r>
      <w:proofErr w:type="spellEnd"/>
    </w:p>
    <w:p w:rsidR="00C210B0" w:rsidRPr="00C210B0" w:rsidRDefault="00F35A0D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10B0" w:rsidRPr="00C210B0" w:rsidRDefault="00C210B0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Pr="00C210B0" w:rsidRDefault="00C210B0" w:rsidP="00C210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Pr="006B7601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Pr="006B7601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6B7601" w:rsidRDefault="006B7601" w:rsidP="006B760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                                                                              к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Собрания депутатов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601" w:rsidRPr="006B7601" w:rsidRDefault="00E0777D" w:rsidP="006B760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сельсовета</w:t>
      </w:r>
    </w:p>
    <w:p w:rsidR="000874FF" w:rsidRDefault="006B7601" w:rsidP="00325C1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Щигровского района </w:t>
      </w:r>
    </w:p>
    <w:p w:rsidR="006B7601" w:rsidRPr="006B7601" w:rsidRDefault="00E0777D" w:rsidP="00325C1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«27</w:t>
      </w:r>
      <w:r w:rsid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ноября 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19-4</w:t>
      </w:r>
      <w:r w:rsidR="000874FF" w:rsidRP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0-6    </w:t>
      </w:r>
      <w:r w:rsid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2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формирования, ведения,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ежегодного дополнения и опубликования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муниципального образования «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Щигровский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определяет правила формирования, ведения, ежегодного дополнения и опубликования Перечня муниципального имущества муниципального образования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сельсовет» Щигровского района (далее – МО ««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сельсовет» Щигровского района),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лицам, применяющим специальный налоговый режим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создания и основные принципы формирования,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ведения, ежегодного доп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олнения и опубликования Перечня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Перечне содержатся сведения о муниципальном имуществе МО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сельсовет»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 владение и (или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пользование на 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Формирование Перечня осуществляется в целях: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Предоставления имущества, принадлежащего на праве собственности МО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сельсовет» Щигровского района во владение и (или) пользование на долгосрочной основе (в том числе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Реализации полномочий органов местного самоуправления МО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сельсовет» Щигровского района в сфере оказания имущественной поддержки субъектам малого и среднего предпринимательства.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Повышения эффективности управления муниципальным имуществом, находящимся в собственности самоуправления МО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сельсовет» Щигровского района, стимулирования развития малого и среднего предпринимательства на территории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сельсовета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   Формирование и ведение Перечня основывается на следующих основных принципах: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Ежегодная актуализация Перечня (до 1 ноября текущего года), осуществляемая на основе предложений, в том числе внесенных по итогам заседаний коллегиального органа в Администрации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сельсовета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взаимодействия исполнительных органов власти Курской области с территориальным органом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Росимущества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Курской области и органами местного самоуправления по вопросам оказания имущественной поддержки субъектам малого и среднего предпринимательства.</w:t>
      </w:r>
      <w:proofErr w:type="gramEnd"/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C210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Формирование, ведение Перечня, внесение в него изменений, в том числе ежегодное дополнение Перечня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Перечень, изменения и ежегодное дополнение в него утверждаются постановлением Администрации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сельсовета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уполномоченный орган).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Формирование и ведение Перечня осуществляется Уполномоченным органом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Перечень вносятся сведения об имуществе, соответствующем следующим критериям: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Имущество не является объектом религиозного назначения;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Имущество не требует проведения капитального ремонта или реконструкции, не является объектом незавершенного строительства.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3.3.5.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не включено в действующий в текущем году и на очередной период акт о планировании приватизации муниципального  имущества, принятый в соответствии с Федеральным законом от 21.12.2001 № 178-ФЗ «О приватизации государственного и муниципального имущества», а также в перечень имущества 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сельсовет»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Щигровского района,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  <w:proofErr w:type="gramEnd"/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Имущество не признано аварийным и подлежащим сносу;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3.3.9. Земельный участок не относится к земельным участкам, предусмотренным подпунктами 1 - 10, 13 - 15, 18 и 19 пункта 8 статьи 3911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3.3.10.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имущества, закрепленного за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Администрации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сельсовета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уполномоченной 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 малого и среднего предпринимательства и организациям, образующим инфраструктуру поддержки;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3.3.11.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Сведения об имуществе группируются в Перечне по населенным пунктам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сельсовета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сведений об имуществе в Перечень (в том числе ежегодное дополнение), а также исключение сведений об имуществе из Перечня осуществляются правовым актом Администрации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сельсовета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инициативе или на основании предложений органов местного самоуправления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сельсовета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коллегиального органа в Администрации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сельсовета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 рай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обеспечению взаимодействия исполнительных органов власти Курской области с территориальным органом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Росимущества</w:t>
      </w:r>
      <w:proofErr w:type="spell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Курской области и органами местного самоуправления по вопросам оказания имущественной поддержки субъектам малого и среднего предпринимательства,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внесения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изменений в реестр муниципального имущества МО 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сельсовет»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Рассмотрение уполномоченным органом предложений, поступивших от лиц, указанных в пункте 3.6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3.7.1.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3.8.1. Имущество не соответствует критериям, установленным пунктом 3.3 настоящего Порядка.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Администрации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сельсовета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уполномоченной на согласование сделок с имуществом балансодержателя.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3.8.3. Отсутствуют индивидуально-определенные признаки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движимого имущества, позволяющие заключить в отношении него договор аренды.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Уполномоченный орган вправе исключить сведения о муниципальном имуществе МО 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сельсовет» Щигровского района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Перечня, если в течение 2 лет со дня включения сведений об указанном имуществе в Перечень в отношении такого имущества от субъектов МСП или организаций, образующих инфраструктуру поддержки субъектов МСП не поступило: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законом от 26.07.2006 № 135-ФЗ «О защите конкуренции», Земельным кодексом Российской Федерации.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3.10.Сведения о муниципальном имуществе МО 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сельсовет» Щигровского района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исключению из Перечня, в следующих случаях: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3.10.1. В отношении имущества в установленном законодательством Российской Федерации порядке принято решение о его использовании для муниципальных нужд МО 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сельсовет»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3.10.2. Право муниципальной собственности на имущество прекращено по решению суда или в ином установленном законом порядке;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3.10.3. Прекращение существования имущества в результате его гибели или уничтожения;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3.10.5.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393 Земельного кодекса Российской Федерации.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назначению, кроме случая, когда такое имущество предоставляется субъекту МСП или организации инфраструктуры поддержки субъектов МСП на условиях, обеспечивающих проведение его капитального ремонта и (или) реконструкции арендатором 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Уполномоченный орган уведомляет арендатора о намерении принять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6B7601" w:rsidP="00C210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Опубликование Перечня и предоставление сведений</w:t>
      </w:r>
    </w:p>
    <w:p w:rsidR="006B7601" w:rsidRPr="006B7601" w:rsidRDefault="00C210B0" w:rsidP="00C210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включенном в него имуществе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Уполномоченный орган: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Обеспечивает опубликование Перечня или изменений в Перечень в средствах массовой информации, определенных Уставом МО «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C210B0" w:rsidRP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сельсовет» Щигровского района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рабочих дней со дня их утверждения по форме согласно приложению № 2 к  настоящему решению;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Осуществляет размещение Перечня на официальном сайте Администрации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сельсовета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Щигровского района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 по форме согласно приложению № 2 к настоящему решению;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</w:t>
      </w:r>
      <w:proofErr w:type="gramStart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0B0" w:rsidRPr="006B7601" w:rsidRDefault="00C210B0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85" w:rsidRDefault="000B6985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B69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7601" w:rsidRPr="006B7601" w:rsidRDefault="006B7601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6B7601" w:rsidRPr="006B7601" w:rsidRDefault="006B7601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:rsidR="00F35A0D" w:rsidRDefault="00F35A0D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  </w:t>
      </w:r>
    </w:p>
    <w:p w:rsidR="004C61F6" w:rsidRDefault="00E0777D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сельсовета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874FF" w:rsidRDefault="006B7601" w:rsidP="00C210B0">
      <w:pPr>
        <w:widowControl w:val="0"/>
        <w:suppressAutoHyphens/>
        <w:spacing w:after="0" w:line="240" w:lineRule="auto"/>
        <w:jc w:val="right"/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Щигровского района</w:t>
      </w:r>
      <w:r w:rsidR="000874FF" w:rsidRPr="000874FF">
        <w:t xml:space="preserve"> </w:t>
      </w:r>
    </w:p>
    <w:p w:rsidR="000874FF" w:rsidRDefault="00E0777D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«27» </w:t>
      </w:r>
      <w:r w:rsidR="0008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18-40-6</w:t>
      </w:r>
    </w:p>
    <w:p w:rsidR="006B7601" w:rsidRPr="006B7601" w:rsidRDefault="006B7601" w:rsidP="000874F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601" w:rsidRDefault="006B7601" w:rsidP="00C210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перечня муниципального имущества муниципального образования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сельсовет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применяющим специальный налоговый режим</w:t>
      </w:r>
    </w:p>
    <w:p w:rsidR="000B6985" w:rsidRDefault="000B6985" w:rsidP="000874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4742" w:type="dxa"/>
        <w:tblLayout w:type="fixed"/>
        <w:tblLook w:val="04A0"/>
      </w:tblPr>
      <w:tblGrid>
        <w:gridCol w:w="562"/>
        <w:gridCol w:w="426"/>
        <w:gridCol w:w="1416"/>
        <w:gridCol w:w="195"/>
        <w:gridCol w:w="515"/>
        <w:gridCol w:w="1133"/>
        <w:gridCol w:w="792"/>
        <w:gridCol w:w="201"/>
        <w:gridCol w:w="708"/>
        <w:gridCol w:w="568"/>
        <w:gridCol w:w="466"/>
        <w:gridCol w:w="1377"/>
        <w:gridCol w:w="364"/>
        <w:gridCol w:w="1620"/>
        <w:gridCol w:w="214"/>
        <w:gridCol w:w="234"/>
        <w:gridCol w:w="758"/>
        <w:gridCol w:w="920"/>
        <w:gridCol w:w="199"/>
        <w:gridCol w:w="85"/>
        <w:gridCol w:w="1956"/>
        <w:gridCol w:w="33"/>
      </w:tblGrid>
      <w:tr w:rsidR="000B6985" w:rsidRPr="000B6985" w:rsidTr="004C61F6">
        <w:trPr>
          <w:trHeight w:val="276"/>
        </w:trPr>
        <w:tc>
          <w:tcPr>
            <w:tcW w:w="562" w:type="dxa"/>
            <w:vMerge w:val="restart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842" w:type="dxa"/>
            <w:gridSpan w:val="2"/>
            <w:vMerge w:val="restart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 (местоположение) объекта </w:t>
            </w:r>
            <w:hyperlink w:anchor="P205" w:history="1">
              <w:r w:rsidRPr="000B6985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843" w:type="dxa"/>
            <w:gridSpan w:val="3"/>
            <w:vMerge w:val="restart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объекта недвижимости;</w:t>
            </w:r>
          </w:p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тип движимого имущества </w:t>
            </w:r>
            <w:hyperlink w:anchor="P209" w:history="1">
              <w:r w:rsidRPr="000B6985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1701" w:type="dxa"/>
            <w:gridSpan w:val="3"/>
            <w:vMerge w:val="restart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объекта учета &lt;3&gt;</w:t>
            </w:r>
          </w:p>
        </w:tc>
        <w:tc>
          <w:tcPr>
            <w:tcW w:w="8794" w:type="dxa"/>
            <w:gridSpan w:val="13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Сведения о недвижимом имуществе </w:t>
            </w:r>
          </w:p>
        </w:tc>
      </w:tr>
      <w:tr w:rsidR="000B6985" w:rsidRPr="000B6985" w:rsidTr="004C61F6">
        <w:trPr>
          <w:trHeight w:val="276"/>
        </w:trPr>
        <w:tc>
          <w:tcPr>
            <w:tcW w:w="562" w:type="dxa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794" w:type="dxa"/>
            <w:gridSpan w:val="13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Основная характеристика объекта недвижимости &lt;4&gt;</w:t>
            </w:r>
          </w:p>
        </w:tc>
      </w:tr>
      <w:tr w:rsidR="000B6985" w:rsidRPr="000B6985" w:rsidTr="004C61F6">
        <w:trPr>
          <w:trHeight w:val="552"/>
        </w:trPr>
        <w:tc>
          <w:tcPr>
            <w:tcW w:w="562" w:type="dxa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95" w:type="dxa"/>
            <w:gridSpan w:val="5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  <w:gridSpan w:val="4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Фактическое </w:t>
            </w:r>
            <w:proofErr w:type="gramStart"/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значение</w:t>
            </w:r>
            <w:proofErr w:type="gramEnd"/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73" w:type="dxa"/>
            <w:gridSpan w:val="4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0B6985" w:rsidRPr="000B6985" w:rsidTr="004C61F6">
        <w:tc>
          <w:tcPr>
            <w:tcW w:w="562" w:type="dxa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2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3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395" w:type="dxa"/>
            <w:gridSpan w:val="5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gridSpan w:val="4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73" w:type="dxa"/>
            <w:gridSpan w:val="4"/>
          </w:tcPr>
          <w:p w:rsidR="000B6985" w:rsidRPr="000B6985" w:rsidRDefault="000B6985" w:rsidP="000B6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8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0B6985" w:rsidRPr="008468DB" w:rsidTr="004C61F6">
        <w:trPr>
          <w:trHeight w:val="276"/>
        </w:trPr>
        <w:tc>
          <w:tcPr>
            <w:tcW w:w="8359" w:type="dxa"/>
            <w:gridSpan w:val="12"/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6383" w:type="dxa"/>
            <w:gridSpan w:val="10"/>
            <w:vMerge w:val="restart"/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0B6985" w:rsidRPr="008468DB" w:rsidTr="004C61F6">
        <w:trPr>
          <w:trHeight w:val="276"/>
        </w:trPr>
        <w:tc>
          <w:tcPr>
            <w:tcW w:w="3114" w:type="dxa"/>
            <w:gridSpan w:val="5"/>
          </w:tcPr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6" w:type="dxa"/>
            <w:gridSpan w:val="3"/>
            <w:vMerge w:val="restart"/>
          </w:tcPr>
          <w:p w:rsidR="000B6985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gridSpan w:val="2"/>
            <w:vMerge w:val="restart"/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843" w:type="dxa"/>
            <w:gridSpan w:val="2"/>
            <w:vMerge w:val="restart"/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383" w:type="dxa"/>
            <w:gridSpan w:val="10"/>
            <w:vMerge/>
          </w:tcPr>
          <w:p w:rsidR="000B6985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6985" w:rsidRPr="008468DB" w:rsidTr="004C61F6">
        <w:trPr>
          <w:trHeight w:val="2050"/>
        </w:trPr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Merge/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B6985" w:rsidRPr="004C5B2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gridSpan w:val="3"/>
            <w:tcBorders>
              <w:bottom w:val="single" w:sz="4" w:space="0" w:color="auto"/>
            </w:tcBorders>
          </w:tcPr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  <w:gridSpan w:val="3"/>
            <w:tcBorders>
              <w:bottom w:val="single" w:sz="4" w:space="0" w:color="auto"/>
            </w:tcBorders>
          </w:tcPr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</w:tcPr>
          <w:p w:rsidR="000B6985" w:rsidRPr="00D806EE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>Состав (</w:t>
            </w:r>
            <w:proofErr w:type="spellStart"/>
            <w:proofErr w:type="gramStart"/>
            <w:r w:rsidRPr="00D806EE">
              <w:rPr>
                <w:rFonts w:ascii="Times New Roman" w:hAnsi="Times New Roman" w:cs="Times New Roman"/>
                <w:sz w:val="24"/>
              </w:rPr>
              <w:t>принадлежнос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>ти</w:t>
            </w:r>
            <w:proofErr w:type="spellEnd"/>
            <w:proofErr w:type="gramEnd"/>
            <w:r w:rsidRPr="00D806EE">
              <w:rPr>
                <w:rFonts w:ascii="Times New Roman" w:hAnsi="Times New Roman" w:cs="Times New Roman"/>
                <w:sz w:val="24"/>
              </w:rPr>
              <w:t xml:space="preserve">) имущества </w:t>
            </w:r>
          </w:p>
          <w:p w:rsidR="000B6985" w:rsidRPr="008468DB" w:rsidRDefault="000B6985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&lt;9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0B6985" w:rsidRPr="008468DB" w:rsidTr="004C61F6">
        <w:tc>
          <w:tcPr>
            <w:tcW w:w="988" w:type="dxa"/>
            <w:gridSpan w:val="2"/>
          </w:tcPr>
          <w:p w:rsidR="000B6985" w:rsidRPr="008468DB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  <w:gridSpan w:val="3"/>
          </w:tcPr>
          <w:p w:rsidR="000B6985" w:rsidRPr="008468DB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  <w:gridSpan w:val="3"/>
          </w:tcPr>
          <w:p w:rsidR="000B6985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  <w:gridSpan w:val="2"/>
          </w:tcPr>
          <w:p w:rsidR="000B6985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  <w:gridSpan w:val="2"/>
          </w:tcPr>
          <w:p w:rsidR="000B6985" w:rsidRPr="004C5B2E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8" w:type="dxa"/>
            <w:gridSpan w:val="3"/>
          </w:tcPr>
          <w:p w:rsidR="000B6985" w:rsidRPr="008468DB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  <w:gridSpan w:val="2"/>
          </w:tcPr>
          <w:p w:rsidR="000B6985" w:rsidRPr="008468DB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  <w:gridSpan w:val="3"/>
          </w:tcPr>
          <w:p w:rsidR="000B6985" w:rsidRPr="008468DB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9" w:type="dxa"/>
            <w:gridSpan w:val="2"/>
          </w:tcPr>
          <w:p w:rsidR="000B6985" w:rsidRPr="008468DB" w:rsidRDefault="000B6985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4C61F6" w:rsidTr="004C61F6">
        <w:trPr>
          <w:gridAfter w:val="1"/>
          <w:wAfter w:w="33" w:type="dxa"/>
        </w:trPr>
        <w:tc>
          <w:tcPr>
            <w:tcW w:w="14709" w:type="dxa"/>
            <w:gridSpan w:val="21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4C61F6" w:rsidTr="004C61F6">
        <w:trPr>
          <w:gridAfter w:val="1"/>
          <w:wAfter w:w="33" w:type="dxa"/>
        </w:trPr>
        <w:tc>
          <w:tcPr>
            <w:tcW w:w="5039" w:type="dxa"/>
            <w:gridSpan w:val="7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Для договоров аренды и безвозмездного пользования</w:t>
            </w:r>
          </w:p>
        </w:tc>
        <w:tc>
          <w:tcPr>
            <w:tcW w:w="1943" w:type="dxa"/>
            <w:gridSpan w:val="4"/>
            <w:vMerge w:val="restart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741" w:type="dxa"/>
            <w:gridSpan w:val="2"/>
            <w:vMerge w:val="restart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Pr="00937533">
              <w:rPr>
                <w:rFonts w:ascii="Times New Roman" w:hAnsi="Times New Roman" w:cs="Times New Roman"/>
                <w:sz w:val="24"/>
              </w:rPr>
              <w:t>&lt;12&gt;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8" w:type="dxa"/>
            <w:gridSpan w:val="3"/>
            <w:vMerge w:val="restart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правообладателя </w:t>
            </w:r>
            <w:r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877" w:type="dxa"/>
            <w:gridSpan w:val="3"/>
            <w:vMerge w:val="restart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041" w:type="dxa"/>
            <w:gridSpan w:val="2"/>
            <w:vMerge w:val="restart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 xml:space="preserve"> &lt;15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C61F6" w:rsidTr="004C61F6">
        <w:trPr>
          <w:gridAfter w:val="1"/>
          <w:wAfter w:w="33" w:type="dxa"/>
        </w:trPr>
        <w:tc>
          <w:tcPr>
            <w:tcW w:w="2599" w:type="dxa"/>
            <w:gridSpan w:val="4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440" w:type="dxa"/>
            <w:gridSpan w:val="3"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gridSpan w:val="4"/>
            <w:vMerge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gridSpan w:val="2"/>
            <w:vMerge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gridSpan w:val="3"/>
            <w:vMerge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7" w:type="dxa"/>
            <w:gridSpan w:val="3"/>
            <w:vMerge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  <w:gridSpan w:val="2"/>
            <w:vMerge/>
          </w:tcPr>
          <w:p w:rsidR="004C61F6" w:rsidRPr="00D8461E" w:rsidRDefault="004C61F6" w:rsidP="00F9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61F6" w:rsidTr="004C61F6">
        <w:trPr>
          <w:gridAfter w:val="1"/>
          <w:wAfter w:w="33" w:type="dxa"/>
        </w:trPr>
        <w:tc>
          <w:tcPr>
            <w:tcW w:w="2599" w:type="dxa"/>
            <w:gridSpan w:val="4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440" w:type="dxa"/>
            <w:gridSpan w:val="3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43" w:type="dxa"/>
            <w:gridSpan w:val="4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41" w:type="dxa"/>
            <w:gridSpan w:val="2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68" w:type="dxa"/>
            <w:gridSpan w:val="3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77" w:type="dxa"/>
            <w:gridSpan w:val="3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041" w:type="dxa"/>
            <w:gridSpan w:val="2"/>
          </w:tcPr>
          <w:p w:rsidR="004C61F6" w:rsidRPr="00D8461E" w:rsidRDefault="004C61F6" w:rsidP="00F91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:rsidR="000B6985" w:rsidRDefault="000B6985" w:rsidP="004C61F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B6985" w:rsidSect="000B698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4C61F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6B7601" w:rsidRPr="006B7601" w:rsidRDefault="006B7601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6B7601" w:rsidRPr="006B7601" w:rsidRDefault="006B7601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="00F35A0D" w:rsidRPr="00F3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  </w:t>
      </w:r>
    </w:p>
    <w:p w:rsidR="00C210B0" w:rsidRDefault="00E0777D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C2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сельсовета</w:t>
      </w:r>
    </w:p>
    <w:p w:rsidR="006B7601" w:rsidRPr="006B7601" w:rsidRDefault="00C210B0" w:rsidP="00C210B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 района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6B7601" w:rsidP="00C210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муниципального имущества, которое используется для формирования перечня  муниципального имущества муниципального образования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 w:rsid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сельсовет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C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Щигровского района</w:t>
      </w:r>
      <w:r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применяющим специальный налоговый режим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601" w:rsidRPr="006B7601" w:rsidRDefault="004C61F6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6B7601" w:rsidRPr="006B7601" w:rsidRDefault="004C61F6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6B7601" w:rsidRPr="006B7601" w:rsidRDefault="004C61F6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Имущество, переданное субъекту малого и среднего предпринимательства, а так же </w:t>
      </w:r>
      <w:r w:rsidR="00022637" w:rsidRPr="0002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лицам, применяющим специальный налоговый режим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аренды, срок действия которого составляет не менее пяти лет;</w:t>
      </w:r>
    </w:p>
    <w:p w:rsidR="006B7601" w:rsidRPr="006B7601" w:rsidRDefault="004C61F6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119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разграничена, полномочия, по предоставлению которых осуществ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муниципальное образование «</w:t>
      </w:r>
      <w:r w:rsidR="00E07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сельсовет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Щигровского района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РФ.</w:t>
      </w:r>
    </w:p>
    <w:p w:rsidR="006B7601" w:rsidRPr="006B7601" w:rsidRDefault="004C61F6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B7601" w:rsidRPr="006B7601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инфраструктуры.</w:t>
      </w:r>
    </w:p>
    <w:p w:rsidR="006B7601" w:rsidRPr="006B7601" w:rsidRDefault="006B7601" w:rsidP="006B76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01C" w:rsidRPr="004F2242" w:rsidRDefault="009F701C" w:rsidP="009F701C">
      <w:pPr>
        <w:rPr>
          <w:rFonts w:ascii="Times New Roman" w:hAnsi="Times New Roman" w:cs="Times New Roman"/>
          <w:sz w:val="24"/>
          <w:szCs w:val="24"/>
        </w:rPr>
      </w:pPr>
    </w:p>
    <w:sectPr w:rsidR="009F701C" w:rsidRPr="004F2242" w:rsidSect="007F4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F33"/>
    <w:rsid w:val="00022637"/>
    <w:rsid w:val="000874FF"/>
    <w:rsid w:val="000B6985"/>
    <w:rsid w:val="000E061D"/>
    <w:rsid w:val="001B09C5"/>
    <w:rsid w:val="002F4DE2"/>
    <w:rsid w:val="003158DC"/>
    <w:rsid w:val="00325C1E"/>
    <w:rsid w:val="00481E8C"/>
    <w:rsid w:val="004C61F6"/>
    <w:rsid w:val="004F2242"/>
    <w:rsid w:val="006B7601"/>
    <w:rsid w:val="00706F33"/>
    <w:rsid w:val="00767628"/>
    <w:rsid w:val="00783073"/>
    <w:rsid w:val="007F4A40"/>
    <w:rsid w:val="009F701C"/>
    <w:rsid w:val="00B16542"/>
    <w:rsid w:val="00BC6C3F"/>
    <w:rsid w:val="00C210B0"/>
    <w:rsid w:val="00C5795B"/>
    <w:rsid w:val="00D31FB5"/>
    <w:rsid w:val="00DB5F85"/>
    <w:rsid w:val="00E0777D"/>
    <w:rsid w:val="00E556A5"/>
    <w:rsid w:val="00EB5AE0"/>
    <w:rsid w:val="00ED6B43"/>
    <w:rsid w:val="00F3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A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AE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242"/>
    <w:pPr>
      <w:ind w:left="720"/>
      <w:contextualSpacing/>
    </w:pPr>
  </w:style>
  <w:style w:type="table" w:styleId="a9">
    <w:name w:val="Table Grid"/>
    <w:basedOn w:val="a1"/>
    <w:uiPriority w:val="39"/>
    <w:rsid w:val="000B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6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A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AE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242"/>
    <w:pPr>
      <w:ind w:left="720"/>
      <w:contextualSpacing/>
    </w:pPr>
  </w:style>
  <w:style w:type="table" w:styleId="a9">
    <w:name w:val="Table Grid"/>
    <w:basedOn w:val="a1"/>
    <w:uiPriority w:val="39"/>
    <w:rsid w:val="000B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6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3774</Words>
  <Characters>21514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8</cp:revision>
  <cp:lastPrinted>2020-11-24T09:58:00Z</cp:lastPrinted>
  <dcterms:created xsi:type="dcterms:W3CDTF">2020-09-25T07:42:00Z</dcterms:created>
  <dcterms:modified xsi:type="dcterms:W3CDTF">2020-11-24T09:59:00Z</dcterms:modified>
</cp:coreProperties>
</file>